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9ED22">
      <w:pPr>
        <w:keepNext/>
        <w:keepLines/>
        <w:spacing w:before="100" w:beforeAutospacing="1" w:after="360" w:afterAutospacing="1"/>
        <w:jc w:val="center"/>
        <w:outlineLvl w:val="0"/>
        <w:rPr>
          <w:kern w:val="44"/>
          <w:sz w:val="44"/>
          <w:szCs w:val="44"/>
        </w:rPr>
      </w:pPr>
      <w:r>
        <w:rPr>
          <w:rFonts w:hint="eastAsia" w:ascii="方正小标宋简体" w:hAnsi="方正小标宋简体" w:eastAsia="方正小标宋简体" w:cs="方正小标宋简体"/>
          <w:b w:val="0"/>
          <w:sz w:val="44"/>
        </w:rPr>
        <w:t>2026年度科技咨询课题研究方向</w:t>
      </w:r>
    </w:p>
    <w:p w14:paraId="6192A6C2">
      <w:pPr>
        <w:spacing w:line="590" w:lineRule="exact"/>
        <w:ind w:firstLine="640" w:firstLineChars="200"/>
        <w:rPr>
          <w:rFonts w:hint="default" w:ascii="Times New Roman" w:hAnsi="Times New Roman" w:eastAsia="方正黑体_GBK" w:cs="Times New Roman"/>
          <w:kern w:val="2"/>
          <w:sz w:val="32"/>
          <w:szCs w:val="32"/>
          <w:lang w:val="en-US" w:eastAsia="zh-CN" w:bidi="ar-SA"/>
        </w:rPr>
      </w:pPr>
      <w:r>
        <w:rPr>
          <w:rFonts w:hint="eastAsia" w:ascii="Times New Roman" w:hAnsi="Times New Roman" w:eastAsia="方正黑体_GBK" w:cs="Times New Roman"/>
          <w:kern w:val="2"/>
          <w:sz w:val="32"/>
          <w:szCs w:val="32"/>
          <w:lang w:val="en-US" w:eastAsia="zh-CN" w:bidi="ar-SA"/>
        </w:rPr>
        <w:t>一、南京现代化产业体系的政策创新与布局策略研究</w:t>
      </w:r>
    </w:p>
    <w:p w14:paraId="3F9699B5">
      <w:pPr>
        <w:spacing w:line="590" w:lineRule="exact"/>
        <w:ind w:firstLineChars="200"/>
        <w:jc w:val="both"/>
        <w:rPr>
          <w:rFonts w:hint="eastAsia"/>
          <w:lang w:val="en-US" w:eastAsia="zh-CN"/>
        </w:rPr>
      </w:pPr>
      <w:r>
        <w:rPr>
          <w:rFonts w:hint="default"/>
          <w:lang w:val="en-US" w:eastAsia="zh-CN"/>
        </w:rPr>
        <w:t>聚焦南京</w:t>
      </w:r>
      <w:r>
        <w:rPr>
          <w:rFonts w:hint="eastAsia"/>
          <w:lang w:val="en-US" w:eastAsia="zh-CN"/>
        </w:rPr>
        <w:t>“</w:t>
      </w:r>
      <w:r>
        <w:rPr>
          <w:rFonts w:hint="default" w:ascii="Times New Roman" w:hAnsi="Times New Roman" w:cs="Times New Roman"/>
          <w:lang w:val="en-US" w:eastAsia="zh-CN"/>
        </w:rPr>
        <w:t>1026</w:t>
      </w:r>
      <w:r>
        <w:rPr>
          <w:rFonts w:hint="eastAsia"/>
          <w:lang w:val="en-US" w:eastAsia="zh-CN"/>
        </w:rPr>
        <w:t>”现代化产业体系，尤其是“</w:t>
      </w:r>
      <w:r>
        <w:rPr>
          <w:rFonts w:hint="eastAsia" w:ascii="Times New Roman" w:hAnsi="Times New Roman" w:cs="Times New Roman"/>
          <w:lang w:val="en-US" w:eastAsia="zh-CN"/>
        </w:rPr>
        <w:t>6+X</w:t>
      </w:r>
      <w:r>
        <w:rPr>
          <w:rFonts w:hint="eastAsia"/>
          <w:lang w:val="en-US" w:eastAsia="zh-CN"/>
        </w:rPr>
        <w:t>”</w:t>
      </w:r>
      <w:r>
        <w:rPr>
          <w:rFonts w:hint="default"/>
          <w:lang w:val="en-US" w:eastAsia="zh-CN"/>
        </w:rPr>
        <w:t>未来产业发展的具体细分领域</w:t>
      </w:r>
      <w:r>
        <w:rPr>
          <w:rFonts w:hint="default" w:ascii="Times New Roman" w:hAnsi="Times New Roman" w:cs="Times New Roman"/>
          <w:lang w:val="en-US" w:eastAsia="zh-CN"/>
        </w:rPr>
        <w:t>（具身智能、生物制造、脑机接口、6G通信、绿色氢能、核聚变能、量子科技、原子级制造）</w:t>
      </w:r>
      <w:r>
        <w:rPr>
          <w:rFonts w:hint="default"/>
          <w:lang w:val="en-US" w:eastAsia="zh-CN"/>
        </w:rPr>
        <w:t>，通过行业数据分析和对重点企业、机构、行业组织等访谈调研</w:t>
      </w:r>
      <w:r>
        <w:rPr>
          <w:rFonts w:hint="eastAsia"/>
          <w:lang w:val="en-US" w:eastAsia="zh-CN"/>
        </w:rPr>
        <w:t>，</w:t>
      </w:r>
      <w:r>
        <w:rPr>
          <w:rFonts w:hint="default"/>
          <w:lang w:val="en-US" w:eastAsia="zh-CN"/>
        </w:rPr>
        <w:t>深入</w:t>
      </w:r>
      <w:r>
        <w:rPr>
          <w:rFonts w:hint="eastAsia"/>
          <w:lang w:val="en-US" w:eastAsia="zh-CN"/>
        </w:rPr>
        <w:t>研判产业</w:t>
      </w:r>
      <w:r>
        <w:rPr>
          <w:rFonts w:hint="default"/>
          <w:lang w:val="en-US" w:eastAsia="zh-CN"/>
        </w:rPr>
        <w:t>发展现状、</w:t>
      </w:r>
      <w:r>
        <w:rPr>
          <w:rFonts w:hint="eastAsia"/>
          <w:lang w:val="en-US" w:eastAsia="zh-CN"/>
        </w:rPr>
        <w:t>演进态势和未来趋势，分析优势与不足；聚焦国内外产业发展新赛道，围绕产业布局、技术创新、要素供给、生态服务、政策监管，以及高风险、高价值基础研究的布局策略、非共识创新的识别遴选和培育机制、</w:t>
      </w:r>
      <w:r>
        <w:rPr>
          <w:rFonts w:hint="eastAsia" w:ascii="Times New Roman" w:hAnsi="Times New Roman" w:cs="Times New Roman"/>
          <w:lang w:val="en-US" w:eastAsia="zh-CN"/>
        </w:rPr>
        <w:t>AI赋能重点产业核心技术攻关等方面，</w:t>
      </w:r>
      <w:r>
        <w:rPr>
          <w:rFonts w:hint="eastAsia"/>
          <w:lang w:val="en-US" w:eastAsia="zh-CN"/>
        </w:rPr>
        <w:t>研究提出针对性政策创新与体制机制改革建议。</w:t>
      </w:r>
    </w:p>
    <w:p w14:paraId="446FB22B">
      <w:pPr>
        <w:spacing w:line="590" w:lineRule="exact"/>
        <w:ind w:firstLine="640" w:firstLineChars="200"/>
        <w:rPr>
          <w:rFonts w:hint="default" w:ascii="Times New Roman" w:hAnsi="Times New Roman" w:eastAsia="方正黑体_GBK" w:cs="Times New Roman"/>
          <w:kern w:val="2"/>
          <w:sz w:val="32"/>
          <w:szCs w:val="32"/>
          <w:lang w:val="en-US" w:eastAsia="zh-CN" w:bidi="ar-SA"/>
        </w:rPr>
      </w:pPr>
      <w:r>
        <w:rPr>
          <w:rFonts w:hint="eastAsia" w:ascii="Times New Roman" w:hAnsi="Times New Roman" w:eastAsia="方正黑体_GBK" w:cs="Times New Roman"/>
          <w:kern w:val="2"/>
          <w:sz w:val="32"/>
          <w:szCs w:val="32"/>
          <w:lang w:val="en-US" w:eastAsia="zh-CN" w:bidi="ar-SA"/>
        </w:rPr>
        <w:t>二、南京促进科技创新和产业创新深度融合的科技成果转化协同机制研究</w:t>
      </w:r>
    </w:p>
    <w:p w14:paraId="02A2C1A4">
      <w:pPr>
        <w:spacing w:line="590" w:lineRule="exact"/>
        <w:ind w:firstLineChars="200"/>
        <w:jc w:val="both"/>
        <w:rPr>
          <w:rFonts w:hint="eastAsia"/>
        </w:rPr>
      </w:pPr>
      <w:r>
        <w:rPr>
          <w:rFonts w:hint="eastAsia"/>
          <w:lang w:val="en-US" w:eastAsia="zh-CN"/>
        </w:rPr>
        <w:t>深入调研全市</w:t>
      </w:r>
      <w:r>
        <w:rPr>
          <w:rFonts w:hint="eastAsia"/>
        </w:rPr>
        <w:t>概念验证中心、中试平台</w:t>
      </w:r>
      <w:r>
        <w:rPr>
          <w:rFonts w:hint="eastAsia"/>
          <w:lang w:eastAsia="zh-CN"/>
        </w:rPr>
        <w:t>、</w:t>
      </w:r>
      <w:r>
        <w:rPr>
          <w:rFonts w:hint="eastAsia"/>
          <w:lang w:val="en-US" w:eastAsia="zh-CN"/>
        </w:rPr>
        <w:t>孵化器、众创空间、大学科技园</w:t>
      </w:r>
      <w:r>
        <w:rPr>
          <w:rFonts w:hint="eastAsia"/>
        </w:rPr>
        <w:t>等成果转化载体的布局建设、</w:t>
      </w:r>
      <w:r>
        <w:rPr>
          <w:rFonts w:hint="eastAsia"/>
          <w:lang w:val="en-US" w:eastAsia="zh-CN"/>
        </w:rPr>
        <w:t>运行发展</w:t>
      </w:r>
      <w:r>
        <w:rPr>
          <w:rFonts w:hint="eastAsia"/>
        </w:rPr>
        <w:t>和绩效产出情况</w:t>
      </w:r>
      <w:r>
        <w:rPr>
          <w:rFonts w:hint="eastAsia"/>
          <w:lang w:eastAsia="zh-CN"/>
        </w:rPr>
        <w:t>；</w:t>
      </w:r>
      <w:r>
        <w:rPr>
          <w:rFonts w:hint="eastAsia"/>
        </w:rPr>
        <w:t>对标</w:t>
      </w:r>
      <w:r>
        <w:rPr>
          <w:rFonts w:hint="eastAsia"/>
          <w:lang w:val="en-US" w:eastAsia="zh-CN"/>
        </w:rPr>
        <w:t>研究</w:t>
      </w:r>
      <w:r>
        <w:rPr>
          <w:rFonts w:hint="eastAsia"/>
        </w:rPr>
        <w:t>国内外先进经验，围绕</w:t>
      </w:r>
      <w:r>
        <w:rPr>
          <w:rFonts w:hint="eastAsia"/>
          <w:lang w:val="en-US" w:eastAsia="zh-CN"/>
        </w:rPr>
        <w:t>空间</w:t>
      </w:r>
      <w:r>
        <w:rPr>
          <w:rFonts w:hint="eastAsia"/>
        </w:rPr>
        <w:t>布局优化、</w:t>
      </w:r>
      <w:r>
        <w:rPr>
          <w:rFonts w:hint="eastAsia"/>
          <w:lang w:val="en-US" w:eastAsia="zh-CN"/>
        </w:rPr>
        <w:t>金融</w:t>
      </w:r>
      <w:r>
        <w:rPr>
          <w:rFonts w:hint="eastAsia"/>
        </w:rPr>
        <w:t>多元投入、</w:t>
      </w:r>
      <w:r>
        <w:rPr>
          <w:rFonts w:hint="eastAsia"/>
          <w:lang w:val="en-US" w:eastAsia="zh-CN"/>
        </w:rPr>
        <w:t>人才创新创业保障、</w:t>
      </w:r>
      <w:r>
        <w:rPr>
          <w:rFonts w:hint="eastAsia"/>
        </w:rPr>
        <w:t>可持续运营模式、绩效评价与动态管理等</w:t>
      </w:r>
      <w:r>
        <w:rPr>
          <w:rFonts w:hint="eastAsia"/>
          <w:lang w:val="en-US" w:eastAsia="zh-CN"/>
        </w:rPr>
        <w:t>方面</w:t>
      </w:r>
      <w:r>
        <w:rPr>
          <w:rFonts w:hint="eastAsia"/>
        </w:rPr>
        <w:t>，</w:t>
      </w:r>
      <w:r>
        <w:rPr>
          <w:rFonts w:hint="eastAsia"/>
          <w:lang w:val="en-US" w:eastAsia="zh-CN"/>
        </w:rPr>
        <w:t>深入分析我市成果转化平台载体建设、协同发展、科技服务能力提升的难点堵点问题与原因，</w:t>
      </w:r>
      <w:r>
        <w:rPr>
          <w:rFonts w:hint="eastAsia"/>
        </w:rPr>
        <w:t>研究提出提升成果转化</w:t>
      </w:r>
      <w:r>
        <w:rPr>
          <w:rFonts w:hint="eastAsia"/>
          <w:lang w:val="en-US" w:eastAsia="zh-CN"/>
        </w:rPr>
        <w:t>质效和</w:t>
      </w:r>
      <w:r>
        <w:rPr>
          <w:rFonts w:hint="eastAsia"/>
        </w:rPr>
        <w:t>就地</w:t>
      </w:r>
      <w:r>
        <w:rPr>
          <w:rFonts w:hint="eastAsia"/>
          <w:lang w:val="en-US" w:eastAsia="zh-CN"/>
        </w:rPr>
        <w:t>发展</w:t>
      </w:r>
      <w:r>
        <w:rPr>
          <w:rFonts w:hint="eastAsia"/>
        </w:rPr>
        <w:t>的</w:t>
      </w:r>
      <w:r>
        <w:rPr>
          <w:rFonts w:hint="eastAsia"/>
          <w:lang w:val="en-US" w:eastAsia="zh-CN"/>
        </w:rPr>
        <w:t>机制与</w:t>
      </w:r>
      <w:r>
        <w:rPr>
          <w:rFonts w:hint="eastAsia"/>
        </w:rPr>
        <w:t>对策建议。</w:t>
      </w:r>
    </w:p>
    <w:p w14:paraId="02927AAF">
      <w:pPr>
        <w:spacing w:line="590" w:lineRule="exact"/>
        <w:ind w:firstLine="640" w:firstLineChars="200"/>
        <w:rPr>
          <w:rFonts w:hint="eastAsia" w:ascii="Times New Roman" w:hAnsi="Times New Roman" w:eastAsia="方正黑体_GBK" w:cs="Times New Roman"/>
          <w:kern w:val="2"/>
          <w:sz w:val="32"/>
          <w:szCs w:val="32"/>
          <w:lang w:val="en-US" w:eastAsia="zh-CN" w:bidi="ar-SA"/>
        </w:rPr>
      </w:pPr>
      <w:r>
        <w:rPr>
          <w:rFonts w:hint="eastAsia" w:ascii="Times New Roman" w:hAnsi="Times New Roman" w:eastAsia="方正黑体_GBK" w:cs="Times New Roman"/>
          <w:kern w:val="2"/>
          <w:sz w:val="32"/>
          <w:szCs w:val="32"/>
          <w:lang w:val="en-US" w:eastAsia="zh-CN" w:bidi="ar-SA"/>
        </w:rPr>
        <w:t>三、南京高成长性科技企业发现与培育机制研究</w:t>
      </w:r>
    </w:p>
    <w:p w14:paraId="7946C958">
      <w:pPr>
        <w:spacing w:line="590" w:lineRule="exact"/>
        <w:ind w:firstLineChars="200"/>
        <w:jc w:val="both"/>
        <w:rPr>
          <w:rFonts w:hint="eastAsia"/>
        </w:rPr>
      </w:pPr>
      <w:r>
        <w:rPr>
          <w:rFonts w:hint="eastAsia"/>
        </w:rPr>
        <w:t>立足南京科技创新与产业发展实际，聚焦</w:t>
      </w:r>
      <w:r>
        <w:rPr>
          <w:rFonts w:hint="eastAsia"/>
          <w:lang w:val="en-US" w:eastAsia="zh-CN"/>
        </w:rPr>
        <w:t>“</w:t>
      </w:r>
      <w:r>
        <w:rPr>
          <w:rFonts w:hint="default" w:ascii="Times New Roman" w:hAnsi="Times New Roman" w:cs="Times New Roman"/>
          <w:lang w:val="en-US" w:eastAsia="zh-CN"/>
        </w:rPr>
        <w:t>1026</w:t>
      </w:r>
      <w:r>
        <w:rPr>
          <w:rFonts w:hint="eastAsia"/>
          <w:lang w:val="en-US" w:eastAsia="zh-CN"/>
        </w:rPr>
        <w:t>”现代化产业体系</w:t>
      </w:r>
      <w:r>
        <w:rPr>
          <w:rFonts w:hint="eastAsia"/>
        </w:rPr>
        <w:t>，精准遴选一批高成长</w:t>
      </w:r>
      <w:r>
        <w:rPr>
          <w:rFonts w:hint="eastAsia"/>
          <w:lang w:val="en-US" w:eastAsia="zh-CN"/>
        </w:rPr>
        <w:t>性</w:t>
      </w:r>
      <w:r>
        <w:rPr>
          <w:rFonts w:hint="eastAsia"/>
        </w:rPr>
        <w:t>科技企业，系统分析其产业赛道分布、技术创新能力、融资状况、创业来源和成长性等特征；梳理企业在融资对接、人才引育、场景供给、要素保障等方面面临的核心瓶颈，</w:t>
      </w:r>
      <w:r>
        <w:rPr>
          <w:rFonts w:hint="eastAsia"/>
          <w:lang w:val="en-US" w:eastAsia="zh-CN"/>
        </w:rPr>
        <w:t>面向</w:t>
      </w:r>
      <w:r>
        <w:rPr>
          <w:rFonts w:hint="eastAsia"/>
        </w:rPr>
        <w:t>高新技术企业、</w:t>
      </w:r>
      <w:r>
        <w:rPr>
          <w:rFonts w:hint="eastAsia"/>
          <w:lang w:val="en-US" w:eastAsia="zh-CN"/>
        </w:rPr>
        <w:t>新锐企业、</w:t>
      </w:r>
      <w:r>
        <w:rPr>
          <w:rFonts w:hint="eastAsia"/>
        </w:rPr>
        <w:t>独角兽企业、瞪羚企业、专精特新企业等</w:t>
      </w:r>
      <w:r>
        <w:rPr>
          <w:rFonts w:hint="eastAsia"/>
          <w:lang w:val="en-US" w:eastAsia="zh-CN"/>
        </w:rPr>
        <w:t>创新主体</w:t>
      </w:r>
      <w:r>
        <w:rPr>
          <w:rFonts w:hint="eastAsia"/>
        </w:rPr>
        <w:t>，研究提出梯度培育、精准赋能的政策举措和创新生态优化</w:t>
      </w:r>
      <w:r>
        <w:rPr>
          <w:rFonts w:hint="eastAsia"/>
          <w:lang w:val="en-US" w:eastAsia="zh-CN"/>
        </w:rPr>
        <w:t>政策工具箱</w:t>
      </w:r>
      <w:r>
        <w:rPr>
          <w:rFonts w:hint="eastAsia"/>
        </w:rPr>
        <w:t>。</w:t>
      </w:r>
    </w:p>
    <w:p w14:paraId="4D9E9FDF">
      <w:pPr>
        <w:spacing w:line="590" w:lineRule="exact"/>
        <w:ind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申报单位</w:t>
      </w:r>
      <w:r>
        <w:rPr>
          <w:rFonts w:hint="eastAsia" w:eastAsia="方正仿宋_GBK" w:cs="Times New Roman"/>
          <w:sz w:val="32"/>
          <w:szCs w:val="32"/>
          <w:lang w:val="en-US" w:eastAsia="zh-CN"/>
        </w:rPr>
        <w:t>可围绕上述研究方向自拟</w:t>
      </w:r>
      <w:r>
        <w:rPr>
          <w:rFonts w:hint="default" w:ascii="Times New Roman" w:hAnsi="Times New Roman" w:eastAsia="方正仿宋_GBK" w:cs="Times New Roman"/>
          <w:sz w:val="32"/>
          <w:szCs w:val="32"/>
        </w:rPr>
        <w:t>选题。</w:t>
      </w:r>
    </w:p>
    <w:p w14:paraId="3604612E">
      <w:pPr>
        <w:spacing w:line="590" w:lineRule="exact"/>
        <w:ind w:firstLineChars="200"/>
        <w:jc w:val="both"/>
        <w:rPr>
          <w:rFonts w:hint="default" w:ascii="Times New Roman" w:hAnsi="Times New Roman" w:cs="Times New Roman"/>
          <w:lang w:val="en-US" w:eastAsia="zh-CN"/>
        </w:rPr>
      </w:pPr>
      <w:r>
        <w:rPr>
          <w:rFonts w:hint="default"/>
          <w:lang w:val="en-US" w:eastAsia="zh-CN"/>
        </w:rPr>
        <w:t>预期成果形式</w:t>
      </w:r>
      <w:r>
        <w:rPr>
          <w:rFonts w:hint="default" w:ascii="Times New Roman" w:hAnsi="Times New Roman" w:cs="Times New Roman"/>
          <w:lang w:val="en-US" w:eastAsia="zh-CN"/>
        </w:rPr>
        <w:t>：专业研究报告1份，并在决策咨询报告、产业发展规划、行业分析报告、发展解决方案或技术路线图等形式中选择提供相关成果不少于</w:t>
      </w:r>
      <w:bookmarkStart w:id="0" w:name="_GoBack"/>
      <w:bookmarkEnd w:id="0"/>
      <w:r>
        <w:rPr>
          <w:rFonts w:hint="default" w:ascii="Times New Roman" w:hAnsi="Times New Roman" w:cs="Times New Roman"/>
          <w:lang w:val="en-US" w:eastAsia="zh-CN"/>
        </w:rPr>
        <w:t>1份。</w:t>
      </w: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17AC1"/>
    <w:rsid w:val="0156177E"/>
    <w:rsid w:val="04810E0E"/>
    <w:rsid w:val="068D1090"/>
    <w:rsid w:val="08206641"/>
    <w:rsid w:val="0BD57F3A"/>
    <w:rsid w:val="0E2A1FC8"/>
    <w:rsid w:val="113978AB"/>
    <w:rsid w:val="136D62B3"/>
    <w:rsid w:val="13A36AD8"/>
    <w:rsid w:val="14A75F77"/>
    <w:rsid w:val="15A97316"/>
    <w:rsid w:val="17DB4333"/>
    <w:rsid w:val="1A0A0EFF"/>
    <w:rsid w:val="1A116732"/>
    <w:rsid w:val="1C4A5F2B"/>
    <w:rsid w:val="1FD27361"/>
    <w:rsid w:val="21BC592B"/>
    <w:rsid w:val="23F07B9F"/>
    <w:rsid w:val="25315EDA"/>
    <w:rsid w:val="257007B0"/>
    <w:rsid w:val="277255B9"/>
    <w:rsid w:val="27910EB2"/>
    <w:rsid w:val="283012CA"/>
    <w:rsid w:val="29A077A1"/>
    <w:rsid w:val="2C332538"/>
    <w:rsid w:val="2C956D4E"/>
    <w:rsid w:val="2DAA682A"/>
    <w:rsid w:val="34943D90"/>
    <w:rsid w:val="3589141A"/>
    <w:rsid w:val="36C37415"/>
    <w:rsid w:val="36D55D6B"/>
    <w:rsid w:val="39EA407E"/>
    <w:rsid w:val="3B04200D"/>
    <w:rsid w:val="3C0A59A5"/>
    <w:rsid w:val="3CAC5F43"/>
    <w:rsid w:val="3CEF6007"/>
    <w:rsid w:val="4469669F"/>
    <w:rsid w:val="44F57A10"/>
    <w:rsid w:val="45086A21"/>
    <w:rsid w:val="48C9414A"/>
    <w:rsid w:val="4B7778F3"/>
    <w:rsid w:val="4BF4132A"/>
    <w:rsid w:val="509B22D6"/>
    <w:rsid w:val="51DD6B93"/>
    <w:rsid w:val="54866DF9"/>
    <w:rsid w:val="587E3BD6"/>
    <w:rsid w:val="5AA505A9"/>
    <w:rsid w:val="603C270F"/>
    <w:rsid w:val="60636240"/>
    <w:rsid w:val="60BB1ED8"/>
    <w:rsid w:val="64BC60D9"/>
    <w:rsid w:val="651E54C6"/>
    <w:rsid w:val="678A2ADA"/>
    <w:rsid w:val="68EC174A"/>
    <w:rsid w:val="6ECC76A7"/>
    <w:rsid w:val="709656FC"/>
    <w:rsid w:val="715F4802"/>
    <w:rsid w:val="727D2B35"/>
    <w:rsid w:val="739D114F"/>
    <w:rsid w:val="742C0C8D"/>
    <w:rsid w:val="75CD29B6"/>
    <w:rsid w:val="76D773C6"/>
    <w:rsid w:val="779B3FA0"/>
    <w:rsid w:val="7BDE0171"/>
    <w:rsid w:val="7CE26B65"/>
    <w:rsid w:val="7D6E743A"/>
    <w:rsid w:val="7DA27C62"/>
    <w:rsid w:val="7FF66E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仿宋_GBK" w:hAnsi="方正仿宋_GBK" w:eastAsia="方正仿宋_GBK" w:cstheme="minorBidi"/>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787</Words>
  <Characters>800</Characters>
  <TotalTime>3</TotalTime>
  <ScaleCrop>false</ScaleCrop>
  <LinksUpToDate>false</LinksUpToDate>
  <CharactersWithSpaces>801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2026-09-14T17:51:00Z</dcterms:created>
  <dc:creator>wj</dc:creator>
  <cp:lastModifiedBy>萌芽</cp:lastModifiedBy>
  <cp:lastPrinted>2026-10-08T04:13:00Z</cp:lastPrinted>
  <dcterms:modified xsi:type="dcterms:W3CDTF">2026-10-08T08:35:56Z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eyJoZGlkIjoiOGVjOWQ4MzgwZTgzY2M4OTFiZTZkNjEyMjcwMWY0MTIiLCJ1c2VySWQiOiIzNjg3OTM1NzEifQ==</vt:lpwstr>
  </property>
  <property fmtid="{D5CDD505-2E9C-101B-9397-08002B2CF9AE}" pid="3" name="KSOProductBuildVer">
    <vt:lpwstr>2052-12.1.0.28505</vt:lpwstr>
  </property>
  <property fmtid="{D5CDD505-2E9C-101B-9397-08002B2CF9AE}" pid="4" name="ICV">
    <vt:lpwstr>7248CA7AE5AC484794E298A2A69B6240_13</vt:lpwstr>
  </property>
</Properties>
</file>